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856354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CE4A57">
              <w:rPr>
                <w:rFonts w:hint="eastAsia"/>
              </w:rPr>
              <w:t>05</w:t>
            </w:r>
            <w:r w:rsidR="00C258CA">
              <w:rPr>
                <w:rFonts w:hint="eastAsia"/>
              </w:rPr>
              <w:t>.13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856354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856354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</w:t>
            </w:r>
            <w:r w:rsidR="00856354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624E0E" w:rsidRPr="00624E0E" w:rsidRDefault="00624E0E" w:rsidP="00D76004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40"/>
          <w:szCs w:val="40"/>
        </w:rPr>
      </w:pPr>
      <w:r w:rsidRPr="00624E0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한국 최초 글로벌 혁신신약 </w:t>
      </w:r>
      <w:r w:rsidRPr="00624E0E">
        <w:rPr>
          <w:rFonts w:ascii="맑은 고딕" w:eastAsia="맑은 고딕" w:hAnsi="맑은 고딕" w:cs="Times New Roman"/>
          <w:b/>
          <w:bCs/>
          <w:sz w:val="40"/>
          <w:szCs w:val="40"/>
        </w:rPr>
        <w:t>‘</w:t>
      </w:r>
      <w:r w:rsidRPr="00624E0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올리타</w:t>
      </w:r>
      <w:r w:rsidRPr="00624E0E">
        <w:rPr>
          <w:rFonts w:ascii="맑은 고딕" w:eastAsia="맑은 고딕" w:hAnsi="맑은 고딕" w:cs="Times New Roman"/>
          <w:b/>
          <w:bCs/>
          <w:sz w:val="40"/>
          <w:szCs w:val="40"/>
        </w:rPr>
        <w:t>’</w:t>
      </w:r>
      <w:r w:rsidRPr="00624E0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 국내 허가</w:t>
      </w:r>
    </w:p>
    <w:p w:rsidR="00624E0E" w:rsidRDefault="00624E0E" w:rsidP="00624E0E">
      <w:pPr>
        <w:spacing w:after="0" w:line="192" w:lineRule="auto"/>
        <w:ind w:firstLineChars="2300" w:firstLine="414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7E206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내성표적 폐암 혁신신약, </w:t>
      </w:r>
      <w:r w:rsidRPr="007E206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HM61713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&gt;</w:t>
      </w:r>
    </w:p>
    <w:p w:rsidR="00624E0E" w:rsidRPr="00624E0E" w:rsidRDefault="00624E0E" w:rsidP="00624E0E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8"/>
          <w:szCs w:val="8"/>
        </w:rPr>
      </w:pPr>
    </w:p>
    <w:p w:rsidR="00624E0E" w:rsidRDefault="00624E0E" w:rsidP="00624E0E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한국 제약사 첫번째 </w:t>
      </w:r>
      <w:r>
        <w:rPr>
          <w:rFonts w:ascii="바탕" w:eastAsia="바탕" w:hAnsi="바탕" w:cs="바탕" w:hint="eastAsia"/>
          <w:b/>
          <w:bCs/>
          <w:sz w:val="26"/>
          <w:szCs w:val="26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FDA 혁신치료제</w:t>
      </w:r>
      <w:r w:rsidR="00A37478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지정</w:t>
      </w:r>
    </w:p>
    <w:p w:rsidR="00A231AD" w:rsidRPr="00A231AD" w:rsidRDefault="00A37478" w:rsidP="00624E0E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작년 </w:t>
      </w:r>
      <w:r w:rsidR="00624E0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베링거인겔하임-자이랩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과</w:t>
      </w:r>
      <w:r w:rsidR="00624E0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라이선스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계약</w:t>
      </w:r>
    </w:p>
    <w:p w:rsidR="00CB55B6" w:rsidRPr="00A37478" w:rsidRDefault="00CB55B6" w:rsidP="00727E77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710211" w:rsidRPr="00270F01" w:rsidRDefault="007E2068" w:rsidP="007E2068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F37FAB">
        <w:rPr>
          <w:rFonts w:ascii="맑은 고딕" w:eastAsia="맑은 고딕" w:hAnsi="맑은 고딕" w:cs="Times New Roman" w:hint="eastAsia"/>
          <w:sz w:val="22"/>
        </w:rPr>
        <w:t>한미약품</w:t>
      </w:r>
      <w:r w:rsidRPr="00F37FAB">
        <w:rPr>
          <w:rFonts w:ascii="맑은 고딕" w:eastAsia="맑은 고딕" w:hAnsi="맑은 고딕" w:cs="Times New Roman"/>
          <w:sz w:val="22"/>
        </w:rPr>
        <w:t xml:space="preserve">(대표이사 이관순, www.hanmi.co.kr)은 </w:t>
      </w:r>
      <w:r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="00F07F98">
        <w:rPr>
          <w:rFonts w:ascii="맑은 고딕" w:eastAsia="맑은 고딕" w:hAnsi="맑은 고딕" w:cs="Times New Roman" w:hint="eastAsia"/>
          <w:sz w:val="22"/>
        </w:rPr>
        <w:t>독일 베링거인겔하임</w:t>
      </w:r>
      <w:r w:rsidR="00710211">
        <w:rPr>
          <w:rFonts w:ascii="맑은 고딕" w:eastAsia="맑은 고딕" w:hAnsi="맑은 고딕" w:cs="Times New Roman" w:hint="eastAsia"/>
          <w:sz w:val="22"/>
        </w:rPr>
        <w:t xml:space="preserve"> 등과 라이선스 계약을 체결한 </w:t>
      </w:r>
      <w:r>
        <w:rPr>
          <w:rFonts w:ascii="맑은 고딕" w:eastAsia="맑은 고딕" w:hAnsi="맑은 고딕" w:cs="Times New Roman" w:hint="eastAsia"/>
          <w:sz w:val="22"/>
        </w:rPr>
        <w:t>내성표적 폐암</w:t>
      </w:r>
      <w:r w:rsidR="00710211">
        <w:rPr>
          <w:rFonts w:ascii="맑은 고딕" w:eastAsia="맑은 고딕" w:hAnsi="맑은 고딕" w:cs="Times New Roman" w:hint="eastAsia"/>
          <w:sz w:val="22"/>
        </w:rPr>
        <w:t xml:space="preserve"> 혁신</w:t>
      </w:r>
      <w:r>
        <w:rPr>
          <w:rFonts w:ascii="맑은 고딕" w:eastAsia="맑은 고딕" w:hAnsi="맑은 고딕" w:cs="Times New Roman" w:hint="eastAsia"/>
          <w:sz w:val="22"/>
        </w:rPr>
        <w:t>신약</w:t>
      </w:r>
      <w:r w:rsidR="00710211">
        <w:rPr>
          <w:rFonts w:ascii="맑은 고딕" w:eastAsia="맑은 고딕" w:hAnsi="맑은 고딕" w:cs="Times New Roman" w:hint="eastAsia"/>
          <w:sz w:val="22"/>
        </w:rPr>
        <w:t>(</w:t>
      </w:r>
      <w:r w:rsidR="00AB36EA">
        <w:rPr>
          <w:rFonts w:ascii="맑은 고딕" w:eastAsia="맑은 고딕" w:hAnsi="맑은 고딕" w:cs="Times New Roman" w:hint="eastAsia"/>
          <w:sz w:val="22"/>
        </w:rPr>
        <w:t>HM61713</w:t>
      </w:r>
      <w:r w:rsidR="007F1F2C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A37478">
        <w:rPr>
          <w:rFonts w:ascii="맑은 고딕" w:eastAsia="맑은 고딕" w:hAnsi="맑은 고딕" w:cs="Times New Roman" w:hint="eastAsia"/>
          <w:sz w:val="22"/>
        </w:rPr>
        <w:t>성분명</w:t>
      </w:r>
      <w:r w:rsidR="007F1F2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37478">
        <w:rPr>
          <w:rFonts w:ascii="맑은 고딕" w:eastAsia="맑은 고딕" w:hAnsi="맑은 고딕" w:cs="Times New Roman" w:hint="eastAsia"/>
          <w:sz w:val="22"/>
        </w:rPr>
        <w:t>Olmutinib</w:t>
      </w:r>
      <w:r w:rsidR="00710211">
        <w:rPr>
          <w:rFonts w:ascii="맑은 고딕" w:eastAsia="맑은 고딕" w:hAnsi="맑은 고딕" w:cs="Times New Roman" w:hint="eastAsia"/>
          <w:sz w:val="22"/>
        </w:rPr>
        <w:t>)</w:t>
      </w:r>
      <w:r w:rsidR="00270F01">
        <w:rPr>
          <w:rFonts w:ascii="맑은 고딕" w:eastAsia="맑은 고딕" w:hAnsi="맑은 고딕" w:cs="Times New Roman" w:hint="eastAsia"/>
          <w:sz w:val="22"/>
        </w:rPr>
        <w:t xml:space="preserve">의 국내 </w:t>
      </w:r>
      <w:r w:rsidR="0071021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>허가를 받았다고</w:t>
      </w:r>
      <w:r w:rsidR="00C258C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13</w:t>
      </w:r>
      <w:r w:rsidR="0071021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일 밝혔다. 이 신약의 국내 제품명은 </w:t>
      </w:r>
      <w:r w:rsidR="00710211" w:rsidRPr="00270F01">
        <w:rPr>
          <w:rFonts w:ascii="맑은 고딕" w:eastAsia="맑은 고딕" w:hAnsi="맑은 고딕" w:cs="Times New Roman"/>
          <w:color w:val="000000" w:themeColor="text1"/>
          <w:sz w:val="22"/>
        </w:rPr>
        <w:t>‘</w:t>
      </w:r>
      <w:r w:rsidR="0071021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>올리타</w:t>
      </w:r>
      <w:r w:rsidR="00710211" w:rsidRPr="00270F01">
        <w:rPr>
          <w:rFonts w:ascii="맑은 고딕" w:eastAsia="맑은 고딕" w:hAnsi="맑은 고딕" w:cs="Times New Roman"/>
          <w:color w:val="000000" w:themeColor="text1"/>
          <w:sz w:val="22"/>
        </w:rPr>
        <w:t>’</w:t>
      </w:r>
      <w:r w:rsidR="0071021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정이다. </w:t>
      </w:r>
    </w:p>
    <w:p w:rsidR="00CB55B6" w:rsidRDefault="00CB55B6" w:rsidP="007E20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70F01" w:rsidRDefault="00624E0E" w:rsidP="007E20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올리타는</w:t>
      </w:r>
      <w:r w:rsidR="0083076A" w:rsidRPr="0083076A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식약처 신속심사에 따라 허가를 받았다. 식약처는</w:t>
      </w:r>
      <w:r w:rsidR="0083076A" w:rsidRPr="0083076A">
        <w:rPr>
          <w:rFonts w:hint="eastAsia"/>
          <w:sz w:val="22"/>
        </w:rPr>
        <w:t xml:space="preserve"> </w:t>
      </w:r>
      <w:r w:rsidR="003E2464">
        <w:rPr>
          <w:rFonts w:ascii="맑은 고딕" w:eastAsia="맑은 고딕" w:hAnsi="맑은 고딕" w:cs="Times New Roman" w:hint="eastAsia"/>
          <w:sz w:val="22"/>
        </w:rPr>
        <w:t>생명에 위협을 주거</w:t>
      </w:r>
      <w:r w:rsidR="0083076A" w:rsidRPr="0083076A">
        <w:rPr>
          <w:rFonts w:ascii="맑은 고딕" w:eastAsia="맑은 고딕" w:hAnsi="맑은 고딕" w:cs="Times New Roman"/>
          <w:sz w:val="22"/>
        </w:rPr>
        <w:t>나 대체 치료</w:t>
      </w:r>
      <w:r w:rsidR="0083076A">
        <w:rPr>
          <w:rFonts w:ascii="맑은 고딕" w:eastAsia="맑은 고딕" w:hAnsi="맑은 고딕" w:cs="Times New Roman" w:hint="eastAsia"/>
          <w:sz w:val="22"/>
        </w:rPr>
        <w:t>제가</w:t>
      </w:r>
      <w:r w:rsidR="0083076A" w:rsidRPr="0083076A">
        <w:rPr>
          <w:rFonts w:ascii="맑은 고딕" w:eastAsia="맑은 고딕" w:hAnsi="맑은 고딕" w:cs="Times New Roman"/>
          <w:sz w:val="22"/>
        </w:rPr>
        <w:t xml:space="preserve"> 없는 경우</w:t>
      </w:r>
      <w:r w:rsidR="0083076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3076A" w:rsidRPr="0083076A">
        <w:rPr>
          <w:rFonts w:ascii="맑은 고딕" w:eastAsia="맑은 고딕" w:hAnsi="맑은 고딕" w:cs="Times New Roman" w:hint="eastAsia"/>
          <w:sz w:val="22"/>
        </w:rPr>
        <w:t>임상</w:t>
      </w:r>
      <w:r w:rsidR="0083076A" w:rsidRPr="0083076A">
        <w:rPr>
          <w:rFonts w:ascii="맑은 고딕" w:eastAsia="맑은 고딕" w:hAnsi="맑은 고딕" w:cs="Times New Roman"/>
          <w:sz w:val="22"/>
        </w:rPr>
        <w:t xml:space="preserve"> 2상에서 안전성과 잠재적 효능이 확인된 혁신신약에 한해 판매를</w:t>
      </w:r>
      <w:r w:rsidR="00270F01" w:rsidRPr="0083076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3076A">
        <w:rPr>
          <w:rFonts w:ascii="맑은 고딕" w:eastAsia="맑은 고딕" w:hAnsi="맑은 고딕" w:cs="Times New Roman" w:hint="eastAsia"/>
          <w:sz w:val="22"/>
        </w:rPr>
        <w:t xml:space="preserve">허용하고 </w:t>
      </w:r>
      <w:r w:rsidR="0083076A" w:rsidRPr="0083076A">
        <w:rPr>
          <w:rFonts w:ascii="맑은 고딕" w:eastAsia="맑은 고딕" w:hAnsi="맑은 고딕" w:cs="Times New Roman" w:hint="eastAsia"/>
          <w:sz w:val="22"/>
        </w:rPr>
        <w:t>임상</w:t>
      </w:r>
      <w:r w:rsidR="0083076A" w:rsidRPr="0083076A">
        <w:rPr>
          <w:rFonts w:ascii="맑은 고딕" w:eastAsia="맑은 고딕" w:hAnsi="맑은 고딕" w:cs="Times New Roman"/>
          <w:sz w:val="22"/>
        </w:rPr>
        <w:t xml:space="preserve"> 3상</w:t>
      </w:r>
      <w:r w:rsidR="005C2E6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3076A" w:rsidRPr="0083076A">
        <w:rPr>
          <w:rFonts w:ascii="맑은 고딕" w:eastAsia="맑은 고딕" w:hAnsi="맑은 고딕" w:cs="Times New Roman"/>
          <w:sz w:val="22"/>
        </w:rPr>
        <w:t>자료를 시판 후 제출하도록</w:t>
      </w:r>
      <w:r w:rsidR="0083076A">
        <w:rPr>
          <w:rFonts w:ascii="맑은 고딕" w:eastAsia="맑은 고딕" w:hAnsi="맑은 고딕" w:cs="Times New Roman" w:hint="eastAsia"/>
          <w:sz w:val="22"/>
        </w:rPr>
        <w:t xml:space="preserve"> 허용</w:t>
      </w:r>
      <w:r>
        <w:rPr>
          <w:rFonts w:ascii="맑은 고딕" w:eastAsia="맑은 고딕" w:hAnsi="맑은 고딕" w:cs="Times New Roman" w:hint="eastAsia"/>
          <w:sz w:val="22"/>
        </w:rPr>
        <w:t>하고 있다.</w:t>
      </w:r>
      <w:r w:rsidR="0083076A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BD6A4C" w:rsidRPr="00624E0E" w:rsidRDefault="00BD6A4C" w:rsidP="007E20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56354" w:rsidRPr="00A37478" w:rsidRDefault="00F37FAB" w:rsidP="00F37FA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37FAB">
        <w:rPr>
          <w:rFonts w:ascii="맑은 고딕" w:eastAsia="맑은 고딕" w:hAnsi="맑은 고딕" w:cs="Times New Roman" w:hint="eastAsia"/>
          <w:sz w:val="22"/>
        </w:rPr>
        <w:t>올리타</w:t>
      </w:r>
      <w:r w:rsidR="00CE4A57">
        <w:rPr>
          <w:rFonts w:ascii="맑은 고딕" w:eastAsia="맑은 고딕" w:hAnsi="맑은 고딕" w:cs="Times New Roman"/>
          <w:sz w:val="22"/>
        </w:rPr>
        <w:t>(Olita</w:t>
      </w:r>
      <w:r w:rsidRPr="00F37FAB">
        <w:rPr>
          <w:rFonts w:ascii="맑은 고딕" w:eastAsia="맑은 고딕" w:hAnsi="맑은 고딕" w:cs="Times New Roman"/>
          <w:sz w:val="22"/>
        </w:rPr>
        <w:t xml:space="preserve">)는 </w:t>
      </w:r>
      <w:r w:rsidR="001B3F8E">
        <w:rPr>
          <w:rFonts w:ascii="맑은 고딕" w:eastAsia="맑은 고딕" w:hAnsi="맑은 고딕" w:cs="Times New Roman" w:hint="eastAsia"/>
          <w:sz w:val="22"/>
        </w:rPr>
        <w:t>폐</w:t>
      </w:r>
      <w:r w:rsidRPr="00F37FAB">
        <w:rPr>
          <w:rFonts w:ascii="맑은 고딕" w:eastAsia="맑은 고딕" w:hAnsi="맑은 고딕" w:cs="Times New Roman"/>
          <w:sz w:val="22"/>
        </w:rPr>
        <w:t>암세포</w:t>
      </w:r>
      <w:r w:rsidR="003E2464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F37FAB">
        <w:rPr>
          <w:rFonts w:ascii="맑은 고딕" w:eastAsia="맑은 고딕" w:hAnsi="맑은 고딕" w:cs="Times New Roman"/>
          <w:sz w:val="22"/>
        </w:rPr>
        <w:t>성장</w:t>
      </w:r>
      <w:r w:rsidR="003E2464">
        <w:rPr>
          <w:rFonts w:ascii="맑은 고딕" w:eastAsia="맑은 고딕" w:hAnsi="맑은 고딕" w:cs="Times New Roman" w:hint="eastAsia"/>
          <w:sz w:val="22"/>
        </w:rPr>
        <w:t xml:space="preserve"> 및 생존 관련 </w:t>
      </w:r>
      <w:r w:rsidRPr="00F37FAB">
        <w:rPr>
          <w:rFonts w:ascii="맑은 고딕" w:eastAsia="맑은 고딕" w:hAnsi="맑은 고딕" w:cs="Times New Roman"/>
          <w:sz w:val="22"/>
        </w:rPr>
        <w:t>신호전달</w:t>
      </w:r>
      <w:r w:rsidR="003E2464">
        <w:rPr>
          <w:rFonts w:ascii="맑은 고딕" w:eastAsia="맑은 고딕" w:hAnsi="맑은 고딕" w:cs="Times New Roman" w:hint="eastAsia"/>
          <w:sz w:val="22"/>
        </w:rPr>
        <w:t>에 관여하는</w:t>
      </w:r>
      <w:r w:rsidRPr="00F37FAB">
        <w:rPr>
          <w:rFonts w:ascii="맑은 고딕" w:eastAsia="맑은 고딕" w:hAnsi="맑은 고딕" w:cs="Times New Roman"/>
          <w:sz w:val="22"/>
        </w:rPr>
        <w:t xml:space="preserve"> </w:t>
      </w:r>
      <w:r w:rsidR="003E2464">
        <w:rPr>
          <w:rFonts w:ascii="맑은 고딕" w:eastAsia="맑은 고딕" w:hAnsi="맑은 고딕" w:cs="Times New Roman" w:hint="eastAsia"/>
          <w:sz w:val="22"/>
        </w:rPr>
        <w:t xml:space="preserve">변이형 </w:t>
      </w:r>
      <w:r w:rsidR="003E2464">
        <w:rPr>
          <w:rFonts w:ascii="맑은 고딕" w:eastAsia="맑은 고딕" w:hAnsi="맑은 고딕" w:cs="Times New Roman"/>
          <w:sz w:val="22"/>
        </w:rPr>
        <w:t>EGFR</w:t>
      </w:r>
      <w:r w:rsidRPr="00F37FAB">
        <w:rPr>
          <w:rFonts w:ascii="맑은 고딕" w:eastAsia="맑은 고딕" w:hAnsi="맑은 고딕" w:cs="Times New Roman"/>
          <w:sz w:val="22"/>
        </w:rPr>
        <w:t xml:space="preserve">만을 선택적으로 억제하며 기존 </w:t>
      </w:r>
      <w:r w:rsidR="001B3F8E">
        <w:rPr>
          <w:rFonts w:ascii="맑은 고딕" w:eastAsia="맑은 고딕" w:hAnsi="맑은 고딕" w:cs="Times New Roman" w:hint="eastAsia"/>
          <w:sz w:val="22"/>
        </w:rPr>
        <w:t xml:space="preserve">폐암 </w:t>
      </w:r>
      <w:r w:rsidRPr="00F37FAB">
        <w:rPr>
          <w:rFonts w:ascii="맑은 고딕" w:eastAsia="맑은 고딕" w:hAnsi="맑은 고딕" w:cs="Times New Roman"/>
          <w:sz w:val="22"/>
        </w:rPr>
        <w:t>치료제 투약 후 나타나는 내성 및 부</w:t>
      </w:r>
      <w:r w:rsidRPr="00F37FAB">
        <w:rPr>
          <w:rFonts w:ascii="맑은 고딕" w:eastAsia="맑은 고딕" w:hAnsi="맑은 고딕" w:cs="Times New Roman" w:hint="eastAsia"/>
          <w:sz w:val="22"/>
        </w:rPr>
        <w:t>작용을</w:t>
      </w:r>
      <w:r w:rsidRPr="00F37FAB">
        <w:rPr>
          <w:rFonts w:ascii="맑은 고딕" w:eastAsia="맑은 고딕" w:hAnsi="맑은 고딕" w:cs="Times New Roman"/>
          <w:sz w:val="22"/>
        </w:rPr>
        <w:t xml:space="preserve"> 극복한 3세대 내성표적 폐암신약</w:t>
      </w:r>
      <w:r w:rsidR="00A37478">
        <w:rPr>
          <w:rFonts w:ascii="맑은 고딕" w:eastAsia="맑은 고딕" w:hAnsi="맑은 고딕" w:cs="Times New Roman" w:hint="eastAsia"/>
          <w:sz w:val="22"/>
        </w:rPr>
        <w:t xml:space="preserve">으로, </w:t>
      </w:r>
      <w:r w:rsidR="00A37478"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="00A37478" w:rsidRPr="00F37FAB">
        <w:rPr>
          <w:rFonts w:ascii="맑은 고딕" w:eastAsia="맑은 고딕" w:hAnsi="맑은 고딕" w:cs="Times New Roman"/>
          <w:sz w:val="22"/>
        </w:rPr>
        <w:t xml:space="preserve">12월 </w:t>
      </w:r>
      <w:r w:rsidR="00A37478" w:rsidRPr="00450317">
        <w:rPr>
          <w:rFonts w:asciiTheme="majorHAnsi" w:eastAsiaTheme="majorHAnsi" w:hAnsiTheme="majorHAnsi" w:cs="바탕" w:hint="eastAsia"/>
          <w:sz w:val="22"/>
        </w:rPr>
        <w:t>미국</w:t>
      </w:r>
      <w:r w:rsidR="00A37478" w:rsidRPr="00450317">
        <w:rPr>
          <w:rFonts w:asciiTheme="majorHAnsi" w:eastAsiaTheme="majorHAnsi" w:hAnsiTheme="majorHAnsi" w:cs="Times New Roman" w:hint="eastAsia"/>
          <w:sz w:val="22"/>
        </w:rPr>
        <w:t xml:space="preserve"> </w:t>
      </w:r>
      <w:r w:rsidR="00A37478" w:rsidRPr="00F37FAB">
        <w:rPr>
          <w:rFonts w:ascii="맑은 고딕" w:eastAsia="맑은 고딕" w:hAnsi="맑은 고딕" w:cs="Times New Roman"/>
          <w:sz w:val="22"/>
        </w:rPr>
        <w:t>FDA</w:t>
      </w:r>
      <w:r w:rsidR="00A37478">
        <w:rPr>
          <w:rFonts w:ascii="맑은 고딕" w:eastAsia="맑은 고딕" w:hAnsi="맑은 고딕" w:cs="Times New Roman" w:hint="eastAsia"/>
          <w:sz w:val="22"/>
        </w:rPr>
        <w:t>로부터 국내 개발 신약 최초로</w:t>
      </w:r>
      <w:r w:rsidR="00A37478" w:rsidRPr="00F37FAB">
        <w:rPr>
          <w:rFonts w:ascii="맑은 고딕" w:eastAsia="맑은 고딕" w:hAnsi="맑은 고딕" w:cs="Times New Roman"/>
          <w:sz w:val="22"/>
        </w:rPr>
        <w:t xml:space="preserve"> 혁신치료제</w:t>
      </w:r>
      <w:r w:rsidR="00A37478">
        <w:rPr>
          <w:rFonts w:ascii="맑은 고딕" w:eastAsia="맑은 고딕" w:hAnsi="맑은 고딕" w:cs="Times New Roman" w:hint="eastAsia"/>
          <w:sz w:val="22"/>
        </w:rPr>
        <w:t>(</w:t>
      </w:r>
      <w:r w:rsidR="00A37478" w:rsidRPr="00450317">
        <w:rPr>
          <w:rFonts w:ascii="맑은 고딕" w:eastAsia="맑은 고딕" w:hAnsi="맑은 고딕" w:cs="Times New Roman"/>
          <w:sz w:val="22"/>
        </w:rPr>
        <w:t>Breakthrough Therapy)</w:t>
      </w:r>
      <w:r w:rsidR="00A37478" w:rsidRPr="00F37FAB">
        <w:rPr>
          <w:rFonts w:ascii="맑은 고딕" w:eastAsia="맑은 고딕" w:hAnsi="맑은 고딕" w:cs="Times New Roman"/>
          <w:sz w:val="22"/>
        </w:rPr>
        <w:t>로 지정</w:t>
      </w:r>
      <w:r w:rsidR="00A37478">
        <w:rPr>
          <w:rFonts w:ascii="맑은 고딕" w:eastAsia="맑은 고딕" w:hAnsi="맑은 고딕" w:cs="Times New Roman" w:hint="eastAsia"/>
          <w:sz w:val="22"/>
        </w:rPr>
        <w:t xml:space="preserve">된 바 있다. </w:t>
      </w:r>
    </w:p>
    <w:p w:rsidR="000B3E50" w:rsidRPr="00A37478" w:rsidRDefault="000B3E50" w:rsidP="00F37FA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E2068" w:rsidRPr="007E2068" w:rsidRDefault="00A37478" w:rsidP="000B3E5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또, </w:t>
      </w:r>
      <w:r w:rsidR="007E2068">
        <w:rPr>
          <w:rFonts w:ascii="맑은 고딕" w:eastAsia="맑은 고딕" w:hAnsi="맑은 고딕" w:cs="Times New Roman" w:hint="eastAsia"/>
          <w:sz w:val="22"/>
        </w:rPr>
        <w:t>한미약품은 이 신약을</w:t>
      </w:r>
      <w:r w:rsidR="000B3E50">
        <w:rPr>
          <w:rFonts w:ascii="맑은 고딕" w:eastAsia="맑은 고딕" w:hAnsi="맑은 고딕" w:cs="Times New Roman" w:hint="eastAsia"/>
          <w:sz w:val="22"/>
        </w:rPr>
        <w:t xml:space="preserve"> 작년</w:t>
      </w:r>
      <w:r w:rsidR="000B3E50" w:rsidRPr="00F37FAB">
        <w:rPr>
          <w:rFonts w:ascii="맑은 고딕" w:eastAsia="맑은 고딕" w:hAnsi="맑은 고딕" w:cs="Times New Roman"/>
          <w:sz w:val="22"/>
        </w:rPr>
        <w:t xml:space="preserve"> 7월 독일 제약회사 베링거인겔하임(Boehringer Ingelheim), </w:t>
      </w:r>
      <w:r w:rsidR="000B3E50"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="000B3E50" w:rsidRPr="00F37FAB">
        <w:rPr>
          <w:rFonts w:ascii="맑은 고딕" w:eastAsia="맑은 고딕" w:hAnsi="맑은 고딕" w:cs="Times New Roman"/>
          <w:sz w:val="22"/>
        </w:rPr>
        <w:t>11월에는 중국 생명과학기업 자이랩(ZAI Lab)</w:t>
      </w:r>
      <w:r w:rsidR="007E2068">
        <w:rPr>
          <w:rFonts w:ascii="맑은 고딕" w:eastAsia="맑은 고딕" w:hAnsi="맑은 고딕" w:cs="Times New Roman" w:hint="eastAsia"/>
          <w:sz w:val="22"/>
        </w:rPr>
        <w:t xml:space="preserve">과 라이선스 계약을 체결했다. </w:t>
      </w:r>
      <w:r w:rsidR="007E2068" w:rsidRPr="00F37FAB">
        <w:rPr>
          <w:rFonts w:ascii="맑은 고딕" w:eastAsia="맑은 고딕" w:hAnsi="맑은 고딕" w:cs="Times New Roman"/>
          <w:sz w:val="22"/>
        </w:rPr>
        <w:t>베링거인겔하임은 한국과 중국을 제외한 전세계에,</w:t>
      </w:r>
      <w:r w:rsidR="007E206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E2068" w:rsidRPr="00F37FAB">
        <w:rPr>
          <w:rFonts w:ascii="맑은 고딕" w:eastAsia="맑은 고딕" w:hAnsi="맑은 고딕" w:cs="Times New Roman"/>
          <w:sz w:val="22"/>
        </w:rPr>
        <w:t>자이랩은 중국 전역(홍콩 및 마카오 포함</w:t>
      </w:r>
      <w:r w:rsidR="00710211">
        <w:rPr>
          <w:rFonts w:ascii="맑은 고딕" w:eastAsia="맑은 고딕" w:hAnsi="맑은 고딕" w:cs="Times New Roman" w:hint="eastAsia"/>
          <w:sz w:val="22"/>
        </w:rPr>
        <w:t>)의</w:t>
      </w:r>
      <w:r w:rsidR="007E2068" w:rsidRPr="00F37FAB">
        <w:rPr>
          <w:rFonts w:ascii="맑은 고딕" w:eastAsia="맑은 고딕" w:hAnsi="맑은 고딕" w:cs="Times New Roman"/>
          <w:sz w:val="22"/>
        </w:rPr>
        <w:t xml:space="preserve">개발 및 상업화 독점권리를 획득했다. </w:t>
      </w:r>
    </w:p>
    <w:p w:rsidR="00A37478" w:rsidRDefault="00A37478" w:rsidP="00D86A5E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727E77" w:rsidRDefault="00727E77" w:rsidP="00D86A5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37FAB">
        <w:rPr>
          <w:rFonts w:ascii="맑은 고딕" w:eastAsia="맑은 고딕" w:hAnsi="맑은 고딕" w:cs="Times New Roman"/>
          <w:sz w:val="22"/>
        </w:rPr>
        <w:t>베링거인겔하임은 현재 진행중인 글로벌 2상 임상(</w:t>
      </w:r>
      <w:r w:rsidR="00450317">
        <w:rPr>
          <w:rFonts w:ascii="맑은 고딕" w:eastAsia="맑은 고딕" w:hAnsi="맑은 고딕" w:cs="Times New Roman" w:hint="eastAsia"/>
          <w:sz w:val="22"/>
        </w:rPr>
        <w:t xml:space="preserve">한미약품 임상시험명: </w:t>
      </w:r>
      <w:r w:rsidR="00450317">
        <w:rPr>
          <w:rFonts w:ascii="맑은 고딕" w:eastAsia="맑은 고딕" w:hAnsi="맑은 고딕" w:cs="Times New Roman"/>
          <w:sz w:val="22"/>
        </w:rPr>
        <w:t>HM-EMSI-202/</w:t>
      </w:r>
      <w:r w:rsidR="00450317">
        <w:rPr>
          <w:rFonts w:ascii="맑은 고딕" w:eastAsia="맑은 고딕" w:hAnsi="맑은 고딕" w:cs="Times New Roman" w:hint="eastAsia"/>
          <w:sz w:val="22"/>
        </w:rPr>
        <w:t>베링거인겔하임</w:t>
      </w:r>
      <w:r w:rsidRPr="00F37FAB">
        <w:rPr>
          <w:rFonts w:ascii="맑은 고딕" w:eastAsia="맑은 고딕" w:hAnsi="맑은 고딕" w:cs="Times New Roman"/>
          <w:sz w:val="22"/>
        </w:rPr>
        <w:t xml:space="preserve"> 임상시험명</w:t>
      </w:r>
      <w:r>
        <w:rPr>
          <w:rFonts w:ascii="맑은 고딕" w:eastAsia="맑은 고딕" w:hAnsi="맑은 고딕" w:cs="Times New Roman"/>
          <w:sz w:val="22"/>
        </w:rPr>
        <w:t xml:space="preserve">: ELUXA </w:t>
      </w:r>
      <w:r w:rsidRPr="00F37FAB">
        <w:rPr>
          <w:rFonts w:ascii="맑은 고딕" w:eastAsia="맑은 고딕" w:hAnsi="맑은 고딕" w:cs="Times New Roman"/>
          <w:sz w:val="22"/>
        </w:rPr>
        <w:t xml:space="preserve">1)을 </w:t>
      </w:r>
      <w:r w:rsidR="00710211">
        <w:rPr>
          <w:rFonts w:ascii="맑은 고딕" w:eastAsia="맑은 고딕" w:hAnsi="맑은 고딕" w:cs="Times New Roman" w:hint="eastAsia"/>
          <w:sz w:val="22"/>
        </w:rPr>
        <w:t>토대로</w:t>
      </w:r>
      <w:r w:rsidRPr="00F37FAB">
        <w:rPr>
          <w:rFonts w:ascii="맑은 고딕" w:eastAsia="맑은 고딕" w:hAnsi="맑은 고딕" w:cs="Times New Roman"/>
          <w:sz w:val="22"/>
        </w:rPr>
        <w:t xml:space="preserve"> 2017년 </w:t>
      </w:r>
      <w:r w:rsidR="00FB7A71" w:rsidRPr="00CD2030">
        <w:rPr>
          <w:rFonts w:ascii="맑은 고딕" w:eastAsia="맑은 고딕" w:hAnsi="맑은 고딕" w:cs="Times New Roman" w:hint="eastAsia"/>
          <w:color w:val="000000" w:themeColor="text1"/>
          <w:sz w:val="22"/>
        </w:rPr>
        <w:t>글로벌</w:t>
      </w:r>
      <w:r w:rsidRPr="00F37FAB">
        <w:rPr>
          <w:rFonts w:ascii="맑은 고딕" w:eastAsia="맑은 고딕" w:hAnsi="맑은 고딕" w:cs="Times New Roman"/>
          <w:sz w:val="22"/>
        </w:rPr>
        <w:t xml:space="preserve"> 허가</w:t>
      </w:r>
      <w:r w:rsidR="000032AD">
        <w:rPr>
          <w:rFonts w:ascii="맑은 고딕" w:eastAsia="맑은 고딕" w:hAnsi="맑은 고딕" w:cs="Times New Roman" w:hint="eastAsia"/>
          <w:sz w:val="22"/>
        </w:rPr>
        <w:t>(한국∙중국제외)</w:t>
      </w:r>
      <w:r w:rsidRPr="00F37FAB">
        <w:rPr>
          <w:rFonts w:ascii="맑은 고딕" w:eastAsia="맑은 고딕" w:hAnsi="맑은 고딕" w:cs="Times New Roman"/>
          <w:sz w:val="22"/>
        </w:rPr>
        <w:t xml:space="preserve">를 목표 </w:t>
      </w:r>
      <w:r>
        <w:rPr>
          <w:rFonts w:ascii="맑은 고딕" w:eastAsia="맑은 고딕" w:hAnsi="맑은 고딕" w:cs="Times New Roman" w:hint="eastAsia"/>
          <w:sz w:val="22"/>
        </w:rPr>
        <w:t xml:space="preserve">하고 </w:t>
      </w:r>
      <w:r w:rsidR="00450317">
        <w:rPr>
          <w:rFonts w:ascii="맑은 고딕" w:eastAsia="맑은 고딕" w:hAnsi="맑은 고딕" w:cs="Times New Roman" w:hint="eastAsia"/>
          <w:sz w:val="22"/>
        </w:rPr>
        <w:t>있으며, 올해부터</w:t>
      </w:r>
      <w:r w:rsidRPr="00F37FAB">
        <w:rPr>
          <w:rFonts w:ascii="맑은 고딕" w:eastAsia="맑은 고딕" w:hAnsi="맑은 고딕" w:cs="Times New Roman"/>
          <w:sz w:val="22"/>
        </w:rPr>
        <w:t xml:space="preserve"> 글로벌 3상 임상을 포함한 다양한 임상시험을 진행할 예정이다.</w:t>
      </w:r>
      <w:r w:rsidR="00710211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0A3A02" w:rsidRDefault="000A3A02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C6026" w:rsidRDefault="00DC6026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F37FAB">
        <w:rPr>
          <w:rFonts w:ascii="맑은 고딕" w:eastAsia="맑은 고딕" w:hAnsi="맑은 고딕" w:cs="Times New Roman"/>
          <w:sz w:val="22"/>
        </w:rPr>
        <w:t>기존</w:t>
      </w:r>
      <w:r>
        <w:rPr>
          <w:rFonts w:ascii="맑은 고딕" w:eastAsia="맑은 고딕" w:hAnsi="맑은 고딕" w:cs="Times New Roman"/>
          <w:sz w:val="22"/>
        </w:rPr>
        <w:t xml:space="preserve"> EGFR TKI </w:t>
      </w:r>
      <w:r w:rsidRPr="00F37FAB">
        <w:rPr>
          <w:rFonts w:ascii="맑은 고딕" w:eastAsia="맑은 고딕" w:hAnsi="맑은 고딕" w:cs="Times New Roman" w:hint="eastAsia"/>
          <w:sz w:val="22"/>
        </w:rPr>
        <w:t>치료에</w:t>
      </w:r>
      <w:r w:rsidRPr="00F37FAB">
        <w:rPr>
          <w:rFonts w:ascii="맑은 고딕" w:eastAsia="맑은 고딕" w:hAnsi="맑은 고딕" w:cs="Times New Roman"/>
          <w:sz w:val="22"/>
        </w:rPr>
        <w:t xml:space="preserve"> 내성을 보인 T790M 변이 양성 비소세포폐암 환자를 대상으로 </w:t>
      </w:r>
      <w:r>
        <w:rPr>
          <w:rFonts w:ascii="맑은 고딕" w:eastAsia="맑은 고딕" w:hAnsi="맑은 고딕" w:cs="Times New Roman" w:hint="eastAsia"/>
          <w:sz w:val="22"/>
        </w:rPr>
        <w:t xml:space="preserve">올리타 </w:t>
      </w:r>
      <w:r w:rsidRPr="00F37FAB">
        <w:rPr>
          <w:rFonts w:ascii="맑은 고딕" w:eastAsia="맑은 고딕" w:hAnsi="맑은 고딕" w:cs="Times New Roman"/>
          <w:sz w:val="22"/>
        </w:rPr>
        <w:t xml:space="preserve">800mg을 1일 1회 투여해 안전성 및 종양감소 효과를 </w:t>
      </w:r>
      <w:r>
        <w:rPr>
          <w:rFonts w:ascii="맑은 고딕" w:eastAsia="맑은 고딕" w:hAnsi="맑은 고딕" w:cs="Times New Roman"/>
          <w:sz w:val="22"/>
        </w:rPr>
        <w:t>확인</w:t>
      </w:r>
      <w:r>
        <w:rPr>
          <w:rFonts w:ascii="맑은 고딕" w:eastAsia="맑은 고딕" w:hAnsi="맑은 고딕" w:cs="Times New Roman" w:hint="eastAsia"/>
          <w:sz w:val="22"/>
        </w:rPr>
        <w:t xml:space="preserve">했다. </w:t>
      </w:r>
      <w:r w:rsidRPr="00F37FAB">
        <w:rPr>
          <w:rFonts w:ascii="맑은 고딕" w:eastAsia="맑은 고딕" w:hAnsi="맑은 고딕" w:cs="Times New Roman"/>
          <w:sz w:val="22"/>
        </w:rPr>
        <w:t>대상환</w:t>
      </w:r>
      <w:r w:rsidRPr="00F37FAB">
        <w:rPr>
          <w:rFonts w:ascii="맑은 고딕" w:eastAsia="맑은 고딕" w:hAnsi="맑은 고딕" w:cs="Times New Roman" w:hint="eastAsia"/>
          <w:sz w:val="22"/>
        </w:rPr>
        <w:t>자의</w:t>
      </w:r>
      <w:r w:rsidRPr="00F37FAB">
        <w:rPr>
          <w:rFonts w:ascii="맑은 고딕" w:eastAsia="맑은 고딕" w:hAnsi="맑은 고딕" w:cs="Times New Roman"/>
          <w:sz w:val="22"/>
        </w:rPr>
        <w:t xml:space="preserve"> 62%에서 객관적 약물 반응이 나타났으며, 환자 중 46%는 확진된 종양감소 효과를 </w:t>
      </w:r>
      <w:r>
        <w:rPr>
          <w:rFonts w:ascii="맑은 고딕" w:eastAsia="맑은 고딕" w:hAnsi="맑은 고딕" w:cs="Times New Roman"/>
          <w:sz w:val="22"/>
        </w:rPr>
        <w:t>나타</w:t>
      </w:r>
      <w:r>
        <w:rPr>
          <w:rFonts w:ascii="맑은 고딕" w:eastAsia="맑은 고딕" w:hAnsi="맑은 고딕" w:cs="Times New Roman" w:hint="eastAsia"/>
          <w:sz w:val="22"/>
        </w:rPr>
        <w:t>냈</w:t>
      </w:r>
      <w:r w:rsidRPr="00F37FAB">
        <w:rPr>
          <w:rFonts w:ascii="맑은 고딕" w:eastAsia="맑은 고딕" w:hAnsi="맑은 고딕" w:cs="Times New Roman"/>
          <w:sz w:val="22"/>
        </w:rPr>
        <w:t xml:space="preserve">다. 또한, 환자의 91%에서 </w:t>
      </w:r>
      <w:r w:rsidR="007F1F2C">
        <w:rPr>
          <w:rFonts w:ascii="맑은 고딕" w:eastAsia="맑은 고딕" w:hAnsi="맑은 고딕" w:cs="Times New Roman"/>
          <w:sz w:val="22"/>
        </w:rPr>
        <w:t>질</w:t>
      </w:r>
      <w:r w:rsidR="007F1F2C">
        <w:rPr>
          <w:rFonts w:ascii="맑은 고딕" w:eastAsia="맑은 고딕" w:hAnsi="맑은 고딕" w:cs="Times New Roman" w:hint="eastAsia"/>
          <w:sz w:val="22"/>
        </w:rPr>
        <w:t>병</w:t>
      </w:r>
      <w:r w:rsidRPr="00F37FAB">
        <w:rPr>
          <w:rFonts w:ascii="맑은 고딕" w:eastAsia="맑은 고딕" w:hAnsi="맑은 고딕" w:cs="Times New Roman"/>
          <w:sz w:val="22"/>
        </w:rPr>
        <w:t xml:space="preserve">조절 효과가 관찰됐다. </w:t>
      </w:r>
    </w:p>
    <w:p w:rsidR="00CB55B6" w:rsidRDefault="00CB55B6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24E0E" w:rsidRDefault="00624E0E" w:rsidP="00DC6026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DC6026" w:rsidRDefault="00DC6026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 같은 연구결과를 포함한 올리타의 주요 임상은</w:t>
      </w:r>
      <w:r w:rsidR="00450317">
        <w:rPr>
          <w:rFonts w:ascii="맑은 고딕" w:eastAsia="맑은 고딕" w:hAnsi="맑은 고딕" w:cs="Times New Roman" w:hint="eastAsia"/>
          <w:sz w:val="22"/>
        </w:rPr>
        <w:t xml:space="preserve"> 2014/</w:t>
      </w:r>
      <w:r>
        <w:rPr>
          <w:rFonts w:ascii="맑은 고딕" w:eastAsia="맑은 고딕" w:hAnsi="맑은 고딕" w:cs="Times New Roman" w:hint="eastAsia"/>
          <w:sz w:val="22"/>
        </w:rPr>
        <w:t xml:space="preserve">2015 </w:t>
      </w:r>
      <w:r w:rsidRPr="00710211">
        <w:rPr>
          <w:rFonts w:ascii="맑은 고딕" w:eastAsia="맑은 고딕" w:hAnsi="맑은 고딕" w:cs="Times New Roman"/>
          <w:sz w:val="22"/>
        </w:rPr>
        <w:t>ASCO(미국임상종양학회</w:t>
      </w:r>
      <w:r w:rsidR="00450317">
        <w:rPr>
          <w:rFonts w:ascii="맑은 고딕" w:eastAsia="맑은 고딕" w:hAnsi="맑은 고딕" w:cs="Times New Roman"/>
          <w:sz w:val="22"/>
        </w:rPr>
        <w:t xml:space="preserve">), </w:t>
      </w:r>
      <w:r w:rsidRPr="00710211">
        <w:rPr>
          <w:rFonts w:ascii="맑은 고딕" w:eastAsia="맑은 고딕" w:hAnsi="맑은 고딕" w:cs="Times New Roman"/>
          <w:sz w:val="22"/>
        </w:rPr>
        <w:t>2015 ESMO Asia(유럽종양학회 아시아 회의)</w:t>
      </w:r>
      <w:r w:rsidR="004F7DC7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4F7DC7">
        <w:rPr>
          <w:rFonts w:ascii="맑은 고딕" w:eastAsia="맑은 고딕" w:hAnsi="맑은 고딕" w:cs="Times New Roman"/>
          <w:sz w:val="22"/>
        </w:rPr>
        <w:t>2016 ELCC</w:t>
      </w:r>
      <w:r w:rsidR="004F7DC7" w:rsidRPr="004F7DC7">
        <w:rPr>
          <w:rFonts w:ascii="맑은 고딕" w:eastAsia="맑은 고딕" w:hAnsi="맑은 고딕" w:cs="Times New Roman"/>
          <w:sz w:val="22"/>
        </w:rPr>
        <w:t xml:space="preserve">(유럽폐암학회) </w:t>
      </w:r>
      <w:r w:rsidRPr="00710211">
        <w:rPr>
          <w:rFonts w:ascii="맑은 고딕" w:eastAsia="맑은 고딕" w:hAnsi="맑은 고딕" w:cs="Times New Roman"/>
          <w:sz w:val="22"/>
        </w:rPr>
        <w:t>등 주요 국제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10211">
        <w:rPr>
          <w:rFonts w:ascii="맑은 고딕" w:eastAsia="맑은 고딕" w:hAnsi="맑은 고딕" w:cs="Times New Roman"/>
          <w:sz w:val="22"/>
        </w:rPr>
        <w:t>학회에서 발표</w:t>
      </w:r>
      <w:r>
        <w:rPr>
          <w:rFonts w:ascii="맑은 고딕" w:eastAsia="맑은 고딕" w:hAnsi="맑은 고딕" w:cs="Times New Roman" w:hint="eastAsia"/>
          <w:sz w:val="22"/>
        </w:rPr>
        <w:t xml:space="preserve">된 바 있다. </w:t>
      </w:r>
    </w:p>
    <w:p w:rsidR="00CB55B6" w:rsidRPr="004F7DC7" w:rsidRDefault="00CB55B6" w:rsidP="00A919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C6026" w:rsidRDefault="00DC6026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아울러, 올리타는 식약처가 실시 중인 팜나비 사업 의약품으로 지정돼 제도 및 기술분야의 다양한 지원을 받았다. 팜나비 사업은 식약처가 환자의 치료기회 확대 및 국내 개발신약의 제품화 촉진을 위해 정책적으로 지원하는 프로그램이다.  </w:t>
      </w:r>
    </w:p>
    <w:p w:rsidR="00B918E1" w:rsidRPr="00DC6026" w:rsidRDefault="00B918E1" w:rsidP="00A919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25FA9" w:rsidRPr="00F25FA9" w:rsidRDefault="00DC6026" w:rsidP="00DC602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70F01">
        <w:rPr>
          <w:rFonts w:ascii="맑은 고딕" w:eastAsia="맑은 고딕" w:hAnsi="맑은 고딕" w:cs="Times New Roman" w:hint="eastAsia"/>
          <w:sz w:val="22"/>
        </w:rPr>
        <w:t>한미약품</w:t>
      </w:r>
      <w:r w:rsidRPr="00270F01">
        <w:rPr>
          <w:rFonts w:ascii="맑은 고딕" w:eastAsia="맑은 고딕" w:hAnsi="맑은 고딕" w:cs="Times New Roman"/>
          <w:sz w:val="22"/>
        </w:rPr>
        <w:t xml:space="preserve"> </w:t>
      </w:r>
      <w:r w:rsidRPr="00270F01">
        <w:rPr>
          <w:rFonts w:ascii="맑은 고딕" w:eastAsia="맑은 고딕" w:hAnsi="맑은 고딕" w:cs="Times New Roman" w:hint="eastAsia"/>
          <w:sz w:val="22"/>
        </w:rPr>
        <w:t>손지웅 부사장은</w:t>
      </w:r>
      <w:r w:rsidRPr="00270F01">
        <w:rPr>
          <w:rFonts w:ascii="맑은 고딕" w:eastAsia="맑은 고딕" w:hAnsi="맑은 고딕" w:cs="Times New Roman"/>
          <w:sz w:val="22"/>
        </w:rPr>
        <w:t xml:space="preserve"> “</w:t>
      </w:r>
      <w:r w:rsidRPr="00270F01">
        <w:rPr>
          <w:rFonts w:ascii="맑은 고딕" w:eastAsia="맑은 고딕" w:hAnsi="맑은 고딕" w:cs="Times New Roman"/>
          <w:color w:val="000000" w:themeColor="text1"/>
          <w:sz w:val="22"/>
        </w:rPr>
        <w:t xml:space="preserve">올리타는 한미약품이 개발한 </w:t>
      </w:r>
      <w:r w:rsidR="00F25FA9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>혁신 내성표적 폐암신약</w:t>
      </w:r>
      <w:r w:rsidR="00270F0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>으로,</w:t>
      </w:r>
      <w:r w:rsid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베링거인겔하임</w:t>
      </w:r>
      <w:r w:rsidR="005C7AB8">
        <w:rPr>
          <w:rFonts w:ascii="맑은 고딕" w:eastAsia="맑은 고딕" w:hAnsi="맑은 고딕" w:cs="Times New Roman" w:hint="eastAsia"/>
          <w:color w:val="000000" w:themeColor="text1"/>
          <w:sz w:val="22"/>
        </w:rPr>
        <w:t>∙</w:t>
      </w:r>
      <w:r w:rsidR="00270F01" w:rsidRPr="00270F01">
        <w:rPr>
          <w:rFonts w:ascii="맑은 고딕" w:eastAsia="맑은 고딕" w:hAnsi="맑은 고딕" w:cs="Times New Roman" w:hint="eastAsia"/>
          <w:color w:val="000000" w:themeColor="text1"/>
          <w:sz w:val="22"/>
        </w:rPr>
        <w:t>자이랩과 글로벌한 파트너십을 맺고 있다</w:t>
      </w:r>
      <w:r w:rsidR="00F25FA9" w:rsidRPr="00270F01">
        <w:rPr>
          <w:rFonts w:ascii="맑은 고딕" w:eastAsia="맑은 고딕" w:hAnsi="맑은 고딕" w:cs="Times New Roman"/>
          <w:sz w:val="22"/>
        </w:rPr>
        <w:t>”</w:t>
      </w:r>
      <w:r w:rsidR="00F25FA9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F25FA9">
        <w:rPr>
          <w:rFonts w:ascii="맑은 고딕" w:eastAsia="맑은 고딕" w:hAnsi="맑은 고딕" w:cs="Times New Roman"/>
          <w:sz w:val="22"/>
        </w:rPr>
        <w:t>“</w:t>
      </w:r>
      <w:r w:rsidR="00F25FA9">
        <w:rPr>
          <w:rFonts w:ascii="맑은 고딕" w:eastAsia="맑은 고딕" w:hAnsi="맑은 고딕" w:cs="Times New Roman" w:hint="eastAsia"/>
          <w:sz w:val="22"/>
        </w:rPr>
        <w:t>폐암으로 고통받는 환자들에게 희망이 되고, 한국이 제약강국으로 도약하는 이정표가 되는 글로벌 혁신신약이 될 것으로 기대</w:t>
      </w:r>
      <w:r w:rsidR="00D304E5">
        <w:rPr>
          <w:rFonts w:ascii="맑은 고딕" w:eastAsia="맑은 고딕" w:hAnsi="맑은 고딕" w:cs="Times New Roman" w:hint="eastAsia"/>
          <w:sz w:val="22"/>
        </w:rPr>
        <w:t>한다</w:t>
      </w:r>
      <w:r w:rsidR="00F25FA9">
        <w:rPr>
          <w:rFonts w:ascii="맑은 고딕" w:eastAsia="맑은 고딕" w:hAnsi="맑은 고딕" w:cs="Times New Roman"/>
          <w:sz w:val="22"/>
        </w:rPr>
        <w:t>”</w:t>
      </w:r>
      <w:bookmarkStart w:id="0" w:name="_GoBack"/>
      <w:bookmarkEnd w:id="0"/>
      <w:r w:rsidR="00F25FA9">
        <w:rPr>
          <w:rFonts w:ascii="맑은 고딕" w:eastAsia="맑은 고딕" w:hAnsi="맑은 고딕" w:cs="Times New Roman" w:hint="eastAsia"/>
          <w:sz w:val="22"/>
        </w:rPr>
        <w:t>고 말했다.</w:t>
      </w:r>
      <w:r w:rsidR="00CB55B6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BD3E80" w:rsidRPr="00DC6026" w:rsidRDefault="00BD3E80" w:rsidP="00F37FA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37FAB" w:rsidRDefault="00F37FAB" w:rsidP="00F37FA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F37FAB">
        <w:rPr>
          <w:rFonts w:ascii="맑은 고딕" w:eastAsia="맑은 고딕" w:hAnsi="맑은 고딕" w:cs="Times New Roman"/>
          <w:b/>
          <w:sz w:val="22"/>
        </w:rPr>
        <w:t>|</w:t>
      </w:r>
      <w:r w:rsidR="00D86A5E">
        <w:rPr>
          <w:rFonts w:ascii="맑은 고딕" w:eastAsia="맑은 고딕" w:hAnsi="맑은 고딕" w:cs="Times New Roman" w:hint="eastAsia"/>
          <w:b/>
          <w:sz w:val="22"/>
        </w:rPr>
        <w:t>용어설명</w:t>
      </w:r>
      <w:r w:rsidRPr="00F37FAB">
        <w:rPr>
          <w:rFonts w:ascii="맑은 고딕" w:eastAsia="맑은 고딕" w:hAnsi="맑은 고딕" w:cs="Times New Roman"/>
          <w:b/>
          <w:sz w:val="22"/>
        </w:rPr>
        <w:t>|</w:t>
      </w:r>
    </w:p>
    <w:p w:rsidR="002232B4" w:rsidRDefault="002232B4" w:rsidP="00F37FAB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3E2464">
        <w:rPr>
          <w:rFonts w:ascii="맑은 고딕" w:eastAsia="맑은 고딕" w:hAnsi="맑은 고딕" w:cs="Times New Roman"/>
          <w:b/>
          <w:sz w:val="22"/>
        </w:rPr>
        <w:t>EGFR</w:t>
      </w:r>
      <w:r w:rsidR="003E2464" w:rsidRPr="003E2464">
        <w:rPr>
          <w:rFonts w:ascii="맑은 고딕" w:eastAsia="맑은 고딕" w:hAnsi="맑은 고딕" w:cs="Times New Roman" w:hint="eastAsia"/>
          <w:b/>
          <w:sz w:val="22"/>
        </w:rPr>
        <w:t xml:space="preserve"> (</w:t>
      </w:r>
      <w:r w:rsidR="003E2464" w:rsidRPr="003E2464">
        <w:rPr>
          <w:rFonts w:ascii="맑은 고딕" w:eastAsia="맑은 고딕" w:hAnsi="맑은 고딕" w:cs="Times New Roman" w:hint="eastAsia"/>
          <w:b/>
          <w:bCs/>
          <w:sz w:val="22"/>
        </w:rPr>
        <w:t>상피세포성장인자수용체/</w:t>
      </w:r>
      <w:r w:rsidR="003E2464" w:rsidRPr="003E2464">
        <w:rPr>
          <w:rFonts w:ascii="맑은 고딕" w:eastAsia="맑은 고딕" w:hAnsi="맑은 고딕" w:cs="Times New Roman"/>
          <w:b/>
          <w:bCs/>
          <w:sz w:val="22"/>
        </w:rPr>
        <w:t>Epidermal Growth Factor Receptor</w:t>
      </w:r>
      <w:r w:rsidR="003E2464" w:rsidRPr="003E2464">
        <w:rPr>
          <w:rFonts w:ascii="맑은 고딕" w:eastAsia="맑은 고딕" w:hAnsi="맑은 고딕" w:cs="Times New Roman" w:hint="eastAsia"/>
          <w:b/>
          <w:bCs/>
          <w:sz w:val="22"/>
        </w:rPr>
        <w:t>)</w:t>
      </w:r>
      <w:r w:rsidRPr="00D442DB">
        <w:rPr>
          <w:rFonts w:ascii="맑은 고딕" w:eastAsia="맑은 고딕" w:hAnsi="맑은 고딕" w:cs="Times New Roman"/>
          <w:b/>
          <w:sz w:val="22"/>
        </w:rPr>
        <w:t xml:space="preserve"> :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2464" w:rsidRPr="003E2464">
        <w:rPr>
          <w:rFonts w:ascii="맑은 고딕" w:eastAsia="맑은 고딕" w:hAnsi="맑은 고딕" w:cs="Times New Roman" w:hint="eastAsia"/>
          <w:bCs/>
          <w:sz w:val="22"/>
        </w:rPr>
        <w:t>암세포의</w:t>
      </w:r>
      <w:r w:rsidR="003E2464" w:rsidRPr="003E2464">
        <w:rPr>
          <w:rFonts w:ascii="맑은 고딕" w:eastAsia="맑은 고딕" w:hAnsi="맑은 고딕" w:cs="Times New Roman"/>
          <w:bCs/>
          <w:sz w:val="22"/>
        </w:rPr>
        <w:t xml:space="preserve"> 성장, 분화 및 생존에</w:t>
      </w:r>
      <w:r w:rsidR="003E2464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3E2464" w:rsidRPr="003E2464">
        <w:rPr>
          <w:rFonts w:ascii="맑은 고딕" w:eastAsia="맑은 고딕" w:hAnsi="맑은 고딕" w:cs="Times New Roman"/>
          <w:bCs/>
          <w:sz w:val="22"/>
        </w:rPr>
        <w:t>대한 신호전달 경로의 활성화에 중요한 역할을 한다.</w:t>
      </w:r>
    </w:p>
    <w:p w:rsidR="003E2464" w:rsidRPr="00BD3E80" w:rsidRDefault="003E2464" w:rsidP="00F37FA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0B3E50" w:rsidRDefault="00F37FAB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37FAB">
        <w:rPr>
          <w:rFonts w:ascii="맑은 고딕" w:eastAsia="맑은 고딕" w:hAnsi="맑은 고딕" w:cs="Times New Roman"/>
          <w:b/>
          <w:sz w:val="22"/>
        </w:rPr>
        <w:t>EGFR TKI (상피세포성장인자수용체 티로신키나제 억제제) :</w:t>
      </w:r>
      <w:r w:rsidRPr="00F37FAB">
        <w:rPr>
          <w:rFonts w:ascii="맑은 고딕" w:eastAsia="맑은 고딕" w:hAnsi="맑은 고딕" w:cs="Times New Roman"/>
          <w:sz w:val="22"/>
        </w:rPr>
        <w:t xml:space="preserve"> </w:t>
      </w:r>
      <w:r w:rsidR="003E2464" w:rsidRPr="003E2464">
        <w:rPr>
          <w:rFonts w:ascii="맑은 고딕" w:eastAsia="맑은 고딕" w:hAnsi="맑은 고딕" w:cs="Times New Roman" w:hint="eastAsia"/>
          <w:sz w:val="22"/>
        </w:rPr>
        <w:t>암세포의</w:t>
      </w:r>
      <w:r w:rsidR="003E2464" w:rsidRPr="003E2464">
        <w:rPr>
          <w:rFonts w:ascii="맑은 고딕" w:eastAsia="맑은 고딕" w:hAnsi="맑은 고딕" w:cs="Times New Roman"/>
          <w:sz w:val="22"/>
        </w:rPr>
        <w:t xml:space="preserve"> 성장, 분화 및 생존에는 신호전달 경로의 활성화가 중요한 역할을 하는데, 티로신키나제(tyrosine kinase)는 이 신호전달경로를 활성화시키는 중요한 매개 효소이다. EGFR TKI는 상피세포성장인자수용체를 활성화시키는 티로신키나제를 선택적으로 억제해 암세포의 생존, 증식, 전이를 막는 약물을 일컫는다.</w:t>
      </w:r>
    </w:p>
    <w:p w:rsidR="0050229E" w:rsidRPr="00D11BB5" w:rsidRDefault="0050229E" w:rsidP="00D9648D">
      <w:pPr>
        <w:spacing w:after="0" w:line="192" w:lineRule="auto"/>
        <w:rPr>
          <w:rFonts w:ascii="맑은 고딕" w:eastAsia="맑은 고딕" w:hAnsi="맑은 고딕" w:cs="Times New Roman"/>
          <w:color w:val="0000FF"/>
          <w:sz w:val="22"/>
        </w:rPr>
      </w:pPr>
    </w:p>
    <w:p w:rsidR="00CA143B" w:rsidRPr="00D9648D" w:rsidRDefault="00521A0B" w:rsidP="00D9648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D9648D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00B" w:rsidRDefault="002E400B" w:rsidP="00E32DD0">
      <w:pPr>
        <w:spacing w:after="0" w:line="240" w:lineRule="auto"/>
      </w:pPr>
      <w:r>
        <w:separator/>
      </w:r>
    </w:p>
  </w:endnote>
  <w:endnote w:type="continuationSeparator" w:id="0">
    <w:p w:rsidR="002E400B" w:rsidRDefault="002E400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00B" w:rsidRDefault="002E400B" w:rsidP="00E32DD0">
      <w:pPr>
        <w:spacing w:after="0" w:line="240" w:lineRule="auto"/>
      </w:pPr>
      <w:r>
        <w:separator/>
      </w:r>
    </w:p>
  </w:footnote>
  <w:footnote w:type="continuationSeparator" w:id="0">
    <w:p w:rsidR="002E400B" w:rsidRDefault="002E400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E91" w:rsidRDefault="00830E91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155A"/>
    <w:rsid w:val="00002E3B"/>
    <w:rsid w:val="000032AD"/>
    <w:rsid w:val="00046DE9"/>
    <w:rsid w:val="00057130"/>
    <w:rsid w:val="000A0184"/>
    <w:rsid w:val="000A3A02"/>
    <w:rsid w:val="000A756C"/>
    <w:rsid w:val="000B3E50"/>
    <w:rsid w:val="000D7AAF"/>
    <w:rsid w:val="000F7107"/>
    <w:rsid w:val="0011699F"/>
    <w:rsid w:val="00133578"/>
    <w:rsid w:val="00147F4A"/>
    <w:rsid w:val="00192E1C"/>
    <w:rsid w:val="00193F21"/>
    <w:rsid w:val="00197989"/>
    <w:rsid w:val="00197BEC"/>
    <w:rsid w:val="001A5E95"/>
    <w:rsid w:val="001B3F8E"/>
    <w:rsid w:val="001C549A"/>
    <w:rsid w:val="001C78E5"/>
    <w:rsid w:val="001D0BD7"/>
    <w:rsid w:val="001D263E"/>
    <w:rsid w:val="001E0EC7"/>
    <w:rsid w:val="001F1BA3"/>
    <w:rsid w:val="00210453"/>
    <w:rsid w:val="0021072E"/>
    <w:rsid w:val="00211FA8"/>
    <w:rsid w:val="00223179"/>
    <w:rsid w:val="002232B4"/>
    <w:rsid w:val="002243F3"/>
    <w:rsid w:val="002315B7"/>
    <w:rsid w:val="002340E3"/>
    <w:rsid w:val="00256A71"/>
    <w:rsid w:val="00270F01"/>
    <w:rsid w:val="00287A44"/>
    <w:rsid w:val="002B1DEF"/>
    <w:rsid w:val="002B6D0A"/>
    <w:rsid w:val="002E400B"/>
    <w:rsid w:val="002E4A32"/>
    <w:rsid w:val="002F7B00"/>
    <w:rsid w:val="003176BD"/>
    <w:rsid w:val="00321C8C"/>
    <w:rsid w:val="00337E7E"/>
    <w:rsid w:val="00366F1A"/>
    <w:rsid w:val="0037152B"/>
    <w:rsid w:val="00383270"/>
    <w:rsid w:val="00384102"/>
    <w:rsid w:val="00384AD3"/>
    <w:rsid w:val="003C44A1"/>
    <w:rsid w:val="003D28C9"/>
    <w:rsid w:val="003E2464"/>
    <w:rsid w:val="003E39C1"/>
    <w:rsid w:val="0040032A"/>
    <w:rsid w:val="00411A1E"/>
    <w:rsid w:val="00427D51"/>
    <w:rsid w:val="004409FE"/>
    <w:rsid w:val="004438C1"/>
    <w:rsid w:val="00450317"/>
    <w:rsid w:val="00452D9A"/>
    <w:rsid w:val="00464F52"/>
    <w:rsid w:val="00486F0C"/>
    <w:rsid w:val="004A483F"/>
    <w:rsid w:val="004C6E0A"/>
    <w:rsid w:val="004F7DC7"/>
    <w:rsid w:val="0050229E"/>
    <w:rsid w:val="0051094A"/>
    <w:rsid w:val="00521A0B"/>
    <w:rsid w:val="00527071"/>
    <w:rsid w:val="0052738E"/>
    <w:rsid w:val="005341C4"/>
    <w:rsid w:val="00540605"/>
    <w:rsid w:val="00540ADC"/>
    <w:rsid w:val="00551A48"/>
    <w:rsid w:val="00573AC8"/>
    <w:rsid w:val="00574BA9"/>
    <w:rsid w:val="00596C74"/>
    <w:rsid w:val="005C2E6F"/>
    <w:rsid w:val="005C7AB8"/>
    <w:rsid w:val="005E53FE"/>
    <w:rsid w:val="005E60CF"/>
    <w:rsid w:val="00612AB2"/>
    <w:rsid w:val="00620758"/>
    <w:rsid w:val="00624E0E"/>
    <w:rsid w:val="006418CF"/>
    <w:rsid w:val="00651C14"/>
    <w:rsid w:val="006544F8"/>
    <w:rsid w:val="00661BDB"/>
    <w:rsid w:val="00670EA7"/>
    <w:rsid w:val="006724B6"/>
    <w:rsid w:val="00675B1A"/>
    <w:rsid w:val="00692174"/>
    <w:rsid w:val="00695BC0"/>
    <w:rsid w:val="006E3E45"/>
    <w:rsid w:val="006F3C7F"/>
    <w:rsid w:val="007033E5"/>
    <w:rsid w:val="0070427C"/>
    <w:rsid w:val="00710211"/>
    <w:rsid w:val="00727E77"/>
    <w:rsid w:val="00735FF7"/>
    <w:rsid w:val="00745707"/>
    <w:rsid w:val="00764EC1"/>
    <w:rsid w:val="007A055A"/>
    <w:rsid w:val="007A482E"/>
    <w:rsid w:val="007D328F"/>
    <w:rsid w:val="007D4063"/>
    <w:rsid w:val="007E2068"/>
    <w:rsid w:val="007E6FFB"/>
    <w:rsid w:val="007F1F2C"/>
    <w:rsid w:val="00805334"/>
    <w:rsid w:val="00820358"/>
    <w:rsid w:val="0082739E"/>
    <w:rsid w:val="0083076A"/>
    <w:rsid w:val="00830E91"/>
    <w:rsid w:val="008421A3"/>
    <w:rsid w:val="00856354"/>
    <w:rsid w:val="00860055"/>
    <w:rsid w:val="0086082D"/>
    <w:rsid w:val="00860C22"/>
    <w:rsid w:val="00867AE1"/>
    <w:rsid w:val="00871DD8"/>
    <w:rsid w:val="008D6139"/>
    <w:rsid w:val="008F0AA1"/>
    <w:rsid w:val="008F638A"/>
    <w:rsid w:val="0091691A"/>
    <w:rsid w:val="00924473"/>
    <w:rsid w:val="0093376D"/>
    <w:rsid w:val="00940865"/>
    <w:rsid w:val="00944F67"/>
    <w:rsid w:val="00962CFE"/>
    <w:rsid w:val="00966F24"/>
    <w:rsid w:val="00974732"/>
    <w:rsid w:val="009777E2"/>
    <w:rsid w:val="009A1A30"/>
    <w:rsid w:val="009A5288"/>
    <w:rsid w:val="009C1D60"/>
    <w:rsid w:val="009C7F5E"/>
    <w:rsid w:val="009E2828"/>
    <w:rsid w:val="00A04CDE"/>
    <w:rsid w:val="00A0539B"/>
    <w:rsid w:val="00A231AD"/>
    <w:rsid w:val="00A34C01"/>
    <w:rsid w:val="00A37478"/>
    <w:rsid w:val="00A557E4"/>
    <w:rsid w:val="00A919BE"/>
    <w:rsid w:val="00AA2958"/>
    <w:rsid w:val="00AB2168"/>
    <w:rsid w:val="00AB36EA"/>
    <w:rsid w:val="00AD0A06"/>
    <w:rsid w:val="00AD366F"/>
    <w:rsid w:val="00AD649E"/>
    <w:rsid w:val="00B15EAF"/>
    <w:rsid w:val="00B25985"/>
    <w:rsid w:val="00B31B1A"/>
    <w:rsid w:val="00B34E1F"/>
    <w:rsid w:val="00B90D4A"/>
    <w:rsid w:val="00B918E1"/>
    <w:rsid w:val="00B9327F"/>
    <w:rsid w:val="00BC4C91"/>
    <w:rsid w:val="00BD3E80"/>
    <w:rsid w:val="00BD6A4C"/>
    <w:rsid w:val="00BD7C68"/>
    <w:rsid w:val="00BE55CC"/>
    <w:rsid w:val="00C258CA"/>
    <w:rsid w:val="00C27E14"/>
    <w:rsid w:val="00C47C46"/>
    <w:rsid w:val="00C6143F"/>
    <w:rsid w:val="00C70442"/>
    <w:rsid w:val="00C82A44"/>
    <w:rsid w:val="00C832D0"/>
    <w:rsid w:val="00C90E50"/>
    <w:rsid w:val="00C96938"/>
    <w:rsid w:val="00CA143B"/>
    <w:rsid w:val="00CA43E3"/>
    <w:rsid w:val="00CA486A"/>
    <w:rsid w:val="00CB4435"/>
    <w:rsid w:val="00CB55B6"/>
    <w:rsid w:val="00CD2030"/>
    <w:rsid w:val="00CD3D5F"/>
    <w:rsid w:val="00CE0B0C"/>
    <w:rsid w:val="00CE4964"/>
    <w:rsid w:val="00CE4A57"/>
    <w:rsid w:val="00D06E13"/>
    <w:rsid w:val="00D07094"/>
    <w:rsid w:val="00D106AD"/>
    <w:rsid w:val="00D11BB5"/>
    <w:rsid w:val="00D304E5"/>
    <w:rsid w:val="00D31592"/>
    <w:rsid w:val="00D40E8A"/>
    <w:rsid w:val="00D46CB6"/>
    <w:rsid w:val="00D76004"/>
    <w:rsid w:val="00D86401"/>
    <w:rsid w:val="00D86A5E"/>
    <w:rsid w:val="00D9648D"/>
    <w:rsid w:val="00DB271E"/>
    <w:rsid w:val="00DC34ED"/>
    <w:rsid w:val="00DC6026"/>
    <w:rsid w:val="00DE516E"/>
    <w:rsid w:val="00E2388A"/>
    <w:rsid w:val="00E26F44"/>
    <w:rsid w:val="00E32DD0"/>
    <w:rsid w:val="00E834B6"/>
    <w:rsid w:val="00E901C9"/>
    <w:rsid w:val="00E969BA"/>
    <w:rsid w:val="00E9784E"/>
    <w:rsid w:val="00F02F8F"/>
    <w:rsid w:val="00F07F98"/>
    <w:rsid w:val="00F1086A"/>
    <w:rsid w:val="00F2498E"/>
    <w:rsid w:val="00F25FA9"/>
    <w:rsid w:val="00F37FAB"/>
    <w:rsid w:val="00F64785"/>
    <w:rsid w:val="00F756CA"/>
    <w:rsid w:val="00F816AF"/>
    <w:rsid w:val="00FB4146"/>
    <w:rsid w:val="00FB4409"/>
    <w:rsid w:val="00FB7A71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98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0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0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A7B9C-F5AC-4343-8906-5142E6032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2016-05-13T04:54:00Z</cp:lastPrinted>
  <dcterms:created xsi:type="dcterms:W3CDTF">2016-05-13T04:59:00Z</dcterms:created>
  <dcterms:modified xsi:type="dcterms:W3CDTF">2016-05-13T05:03:00Z</dcterms:modified>
</cp:coreProperties>
</file>